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B38377" w14:textId="77777777" w:rsidR="009B2E66" w:rsidRDefault="00263E47">
      <w:pPr>
        <w:jc w:val="center"/>
        <w:rPr>
          <w:b/>
          <w:sz w:val="22"/>
        </w:rPr>
      </w:pPr>
      <w:r>
        <w:rPr>
          <w:rFonts w:hint="eastAsia"/>
          <w:b/>
          <w:sz w:val="22"/>
        </w:rPr>
        <w:t>云南电网有限责任公司电力科学研究院</w:t>
      </w:r>
    </w:p>
    <w:p w14:paraId="19C75AFA" w14:textId="77777777" w:rsidR="009B2E66" w:rsidRDefault="009B2E66"/>
    <w:p w14:paraId="0FF9EE48" w14:textId="77777777" w:rsidR="009B2E66" w:rsidRDefault="00263E47">
      <w:pPr>
        <w:rPr>
          <w:b/>
        </w:rPr>
      </w:pPr>
      <w:r>
        <w:rPr>
          <w:rFonts w:hint="eastAsia"/>
          <w:b/>
        </w:rPr>
        <w:t>一、简介</w:t>
      </w:r>
    </w:p>
    <w:p w14:paraId="0237023F" w14:textId="77777777" w:rsidR="009B2E66" w:rsidRDefault="00263E47">
      <w:pPr>
        <w:rPr>
          <w:b/>
        </w:rPr>
      </w:pPr>
      <w:r>
        <w:rPr>
          <w:rFonts w:hint="eastAsia"/>
          <w:b/>
        </w:rPr>
        <w:t>基本情况</w:t>
      </w:r>
    </w:p>
    <w:p w14:paraId="135DE64F" w14:textId="77777777" w:rsidR="009B2E66" w:rsidRDefault="00263E47">
      <w:pPr>
        <w:ind w:firstLineChars="200" w:firstLine="420"/>
      </w:pPr>
      <w:r>
        <w:rPr>
          <w:rFonts w:hint="eastAsia"/>
        </w:rPr>
        <w:t>云南电网有限责任公司（以下简称“公司”）是中国南方电网有限责任公司的全资子公司，大型央企，是云南省域电网运营和交易的主体，负责云南省电力的输送和销售工作，并承担西电东送和向越南、老挝送电的任务，是云南省实施“西电东送”“云电外送”和培育电力支柱产业的重要企业。公司本部设</w:t>
      </w:r>
      <w:r>
        <w:t>19个职能部门，下设33个地市供电局级单位。截至2018年底，公司员工总数6.77万人，营业收入891亿元，资产总额达到1207亿元，完成售电量2426亿千瓦时；500kV主干电网延伸至9个州（市），220kV骨干网架覆盖了全省17个州（市）</w:t>
      </w:r>
      <w:r>
        <w:rPr>
          <w:rFonts w:hint="eastAsia"/>
        </w:rPr>
        <w:t>，特高压、交直流混合运行、异步联网，高海拔长距离输送，水电占比大、小水电众多，风电及光伏发电较多，是云南电网显著的技术特征。具了省内、省外、国外三个电力市场齐头并进的良好发展格局。</w:t>
      </w:r>
    </w:p>
    <w:p w14:paraId="145919C1" w14:textId="77777777" w:rsidR="009B2E66" w:rsidRDefault="00263E47">
      <w:pPr>
        <w:ind w:firstLineChars="200" w:firstLine="420"/>
      </w:pPr>
      <w:r>
        <w:rPr>
          <w:rFonts w:hint="eastAsia"/>
        </w:rPr>
        <w:t>云南电网有限责任公司电力科学研究院：位于云电科技园，是云南电网公司的技术支持中心、科技创新主体和技术人才培养基地。拥有高压、计量、系统分析与直流技术、智能电网、信息情报、配电技术、金属化学、安全技术等</w:t>
      </w:r>
      <w:r>
        <w:t>8个专业技术研究所，以及电力数据分析、科技成果转化2个中心；设有电力计量检测中心、防雷安全检测检验中心、云南谐波检测中心、励磁监督中心、超导实验室、电力科技查新中心、电力瓦斯继电器校验中心、六氟化硫检测中心、节能中心、动力化学清洗中心、锅炉压力容器检测中心、发电用煤质量监督检验中心十一个省部级检测中心，以及高压</w:t>
      </w:r>
      <w:r>
        <w:rPr>
          <w:rFonts w:hint="eastAsia"/>
        </w:rPr>
        <w:t>计量、电力环境、劳动环境等三个检测站。有国内领先水平的高海拔超高压直流输电中试基地、国内首个±</w:t>
      </w:r>
      <w:r>
        <w:t>800kV直流高海拔特高压试验研究基地。有充足的科技经费投入，以解决企业工程难题，提高科技创新能力和核心竞争力。</w:t>
      </w:r>
    </w:p>
    <w:p w14:paraId="393DBC4F" w14:textId="77777777" w:rsidR="009B2E66" w:rsidRDefault="00263E47">
      <w:pPr>
        <w:ind w:firstLineChars="200" w:firstLine="420"/>
      </w:pPr>
      <w:r>
        <w:rPr>
          <w:rFonts w:hint="eastAsia"/>
        </w:rPr>
        <w:t>云南电网有限责任公司研究生工作站：联合培养研究生全部进入研究生工作站进行培养。工作站由院士工作站、博士后科研工作站、研究生工作站三站合一组成，挂靠在公司电力科学研究院。有专业全职管理人员做好研究生联合培养工作。企业导师队伍有</w:t>
      </w:r>
      <w:r>
        <w:t>60多人，全是具备高级工程师及以上职称、公司各单位技术骨干及重要科技研发和建设领域项目负责人组成。进站研究生与企业导师进行面对面的专业技术交流，通过参与企业导师自身的项目中，能得到电力生产实验、工程项目建设、科技项目研发的锻炼；参加生产现场见习和分析实践中，能提升自己的理论知识有效地与生</w:t>
      </w:r>
      <w:r>
        <w:rPr>
          <w:rFonts w:hint="eastAsia"/>
        </w:rPr>
        <w:t>产实践相结合的能力和发现问题、提出问题、解决工程问题的能力。依托进站课题撰写出高质量的有工程实践特色的毕业论文。通过长时间的在企业学习、锻炼，不仅可以得到专业能力培养，还可以深入了解所在企业宗旨、价值创造、发展战略、工作理念、服务理念、安全理念等企业文化，以及企业的所属单位分布、机构设置、生产经营状况和管理水平、社会影响等情况，能得到电力企业</w:t>
      </w:r>
      <w:proofErr w:type="gramStart"/>
      <w:r>
        <w:rPr>
          <w:rFonts w:hint="eastAsia"/>
        </w:rPr>
        <w:t>严勤细实</w:t>
      </w:r>
      <w:proofErr w:type="gramEnd"/>
      <w:r>
        <w:rPr>
          <w:rFonts w:hint="eastAsia"/>
        </w:rPr>
        <w:t>的良好工作作风的培养，便于进站研究生正确认识自己和在毕业时理性选择自己的求职意向。在站研究生工作和生活条件优越：工作站所在园区环境优美，集合了办公、实验、食宿、室内运动球场等设施于一体。免费为进站研究生提供有电视、网络、厨房、卫生间等良好生活设施的标准间住宿；配置有与在职员工同样的工位办公场所和笔记本计算机、</w:t>
      </w:r>
      <w:proofErr w:type="gramStart"/>
      <w:r>
        <w:rPr>
          <w:rFonts w:hint="eastAsia"/>
        </w:rPr>
        <w:t>安全工</w:t>
      </w:r>
      <w:proofErr w:type="gramEnd"/>
      <w:r>
        <w:rPr>
          <w:rFonts w:hint="eastAsia"/>
        </w:rPr>
        <w:t>器具等办公设备；工作站定期组织丰富多彩的篮球、羽毛球等文体活动和拓展训练，培养团队精神。除工作站管理外，每届进站研究生作为一个班级，选举班委和成立临时研究生党支部，实行班级自主管理。自建站以来，共招录</w:t>
      </w:r>
      <w:r>
        <w:t>297名研究生进站，已出站有260人，有32人</w:t>
      </w:r>
      <w:proofErr w:type="gramStart"/>
      <w:r>
        <w:t>留公司</w:t>
      </w:r>
      <w:proofErr w:type="gramEnd"/>
      <w:r>
        <w:t>系统工作。目前在站研究生37人。2014年，公司与华北电力大学合建的研究生工作站荣获首批 “全国示范性工</w:t>
      </w:r>
      <w:r>
        <w:rPr>
          <w:rFonts w:hint="eastAsia"/>
        </w:rPr>
        <w:t>程专业学位研究生联合培养基地”荣誉称号。</w:t>
      </w:r>
      <w:r>
        <w:t>2017年，公司与重庆大学合建的研究生工作站荣获第三届“全国工程专业学位研究生联合培养示范基地”荣誉称号。</w:t>
      </w:r>
    </w:p>
    <w:p w14:paraId="106DE936" w14:textId="77777777" w:rsidR="009B2E66" w:rsidRDefault="009B2E66"/>
    <w:p w14:paraId="63986D2B" w14:textId="77777777" w:rsidR="009B2E66" w:rsidRDefault="00263E47">
      <w:pPr>
        <w:ind w:firstLineChars="200" w:firstLine="420"/>
      </w:pPr>
      <w:r>
        <w:rPr>
          <w:rFonts w:hint="eastAsia"/>
        </w:rPr>
        <w:lastRenderedPageBreak/>
        <w:t>云南电网有限责任公司竭诚欢迎海内外青年才俊、创新创业人才的加盟！我们将为您实现梦想，施展才华提供广阔的舞台！愿我们与您共同成长，见证美好的未来！</w:t>
      </w:r>
    </w:p>
    <w:p w14:paraId="69A0FF6F" w14:textId="0E31965E" w:rsidR="009B2E66" w:rsidRDefault="00263E47">
      <w:pPr>
        <w:rPr>
          <w:b/>
        </w:rPr>
      </w:pPr>
      <w:r>
        <w:rPr>
          <w:rFonts w:hint="eastAsia"/>
          <w:b/>
        </w:rPr>
        <w:t>二、2</w:t>
      </w:r>
      <w:r>
        <w:rPr>
          <w:b/>
        </w:rPr>
        <w:t>02</w:t>
      </w:r>
      <w:r w:rsidR="003D408D">
        <w:rPr>
          <w:b/>
        </w:rPr>
        <w:t>3</w:t>
      </w:r>
      <w:r>
        <w:rPr>
          <w:rFonts w:hint="eastAsia"/>
          <w:b/>
        </w:rPr>
        <w:t>年和华北电力大学联合培养招生指标</w:t>
      </w:r>
    </w:p>
    <w:p w14:paraId="607425FB" w14:textId="77777777" w:rsidR="009B2E66" w:rsidRDefault="00263E47">
      <w:r>
        <w:rPr>
          <w:rFonts w:hint="eastAsia"/>
        </w:rPr>
        <w:t xml:space="preserve"> </w:t>
      </w:r>
      <w:r>
        <w:t xml:space="preserve">     </w:t>
      </w:r>
      <w:r>
        <w:rPr>
          <w:rFonts w:hint="eastAsia"/>
        </w:rPr>
        <w:t>能源动力专业（电气工程方向全日制）</w:t>
      </w:r>
      <w:r>
        <w:t>5</w:t>
      </w:r>
      <w:r>
        <w:rPr>
          <w:rFonts w:hint="eastAsia"/>
        </w:rPr>
        <w:t>名</w:t>
      </w:r>
    </w:p>
    <w:p w14:paraId="62E1F429" w14:textId="77777777" w:rsidR="009B2E66" w:rsidRDefault="00263E47">
      <w:r>
        <w:rPr>
          <w:rFonts w:hint="eastAsia"/>
        </w:rPr>
        <w:t xml:space="preserve"> </w:t>
      </w:r>
      <w:r>
        <w:t xml:space="preserve">     </w:t>
      </w:r>
      <w:r>
        <w:rPr>
          <w:rFonts w:hint="eastAsia"/>
        </w:rPr>
        <w:t>能源动力专业（电气工程方向非全日制）</w:t>
      </w:r>
      <w:r>
        <w:t>15</w:t>
      </w:r>
      <w:r>
        <w:rPr>
          <w:rFonts w:hint="eastAsia"/>
        </w:rPr>
        <w:t>名</w:t>
      </w:r>
    </w:p>
    <w:p w14:paraId="1160AAE7" w14:textId="77777777" w:rsidR="009B2E66" w:rsidRDefault="00263E47">
      <w:pPr>
        <w:rPr>
          <w:b/>
        </w:rPr>
      </w:pPr>
      <w:r>
        <w:rPr>
          <w:rFonts w:hint="eastAsia"/>
          <w:b/>
        </w:rPr>
        <w:t>三、培养模式</w:t>
      </w:r>
      <w:r>
        <w:rPr>
          <w:b/>
        </w:rPr>
        <w:t>-联合培养</w:t>
      </w:r>
    </w:p>
    <w:p w14:paraId="448929DF" w14:textId="77777777" w:rsidR="009B2E66" w:rsidRDefault="00263E47">
      <w:pPr>
        <w:rPr>
          <w:b/>
        </w:rPr>
      </w:pPr>
      <w:r>
        <w:rPr>
          <w:b/>
        </w:rPr>
        <w:t>1</w:t>
      </w:r>
      <w:r>
        <w:rPr>
          <w:rFonts w:hint="eastAsia"/>
          <w:b/>
        </w:rPr>
        <w:t>、非全日制定向学生——全日制式培养</w:t>
      </w:r>
    </w:p>
    <w:p w14:paraId="5D183490" w14:textId="77777777" w:rsidR="009B2E66" w:rsidRDefault="00263E47">
      <w:pPr>
        <w:ind w:firstLineChars="200" w:firstLine="420"/>
      </w:pPr>
      <w:r>
        <w:rPr>
          <w:rFonts w:hint="eastAsia"/>
        </w:rPr>
        <w:t>采用全日制式培养和管理模式，入学就进入产学研基地，实行双导师负责制。以院内导师指导为主，院外导师参与课题选择、研究指导以及论文写作等多个环节的工作。</w:t>
      </w:r>
    </w:p>
    <w:p w14:paraId="04A56F61" w14:textId="77777777" w:rsidR="009B2E66" w:rsidRDefault="00263E47">
      <w:pPr>
        <w:ind w:firstLineChars="200" w:firstLine="420"/>
      </w:pPr>
      <w:r>
        <w:rPr>
          <w:rFonts w:hint="eastAsia"/>
        </w:rPr>
        <w:t>培养内容涵盖课程学习、科研课题的选择以及项目申请与实践等多个方面，对学生采取全方位培养模式。其中，研究生课程与北京校部同专业学生要求一致，采取集中授课方式（回校交通费由工作站负责）。</w:t>
      </w:r>
    </w:p>
    <w:p w14:paraId="59AE8167" w14:textId="77777777" w:rsidR="009B2E66" w:rsidRDefault="00263E47">
      <w:pPr>
        <w:rPr>
          <w:b/>
        </w:rPr>
      </w:pPr>
      <w:r>
        <w:rPr>
          <w:b/>
        </w:rPr>
        <w:t>2</w:t>
      </w:r>
      <w:r>
        <w:rPr>
          <w:rFonts w:hint="eastAsia"/>
          <w:b/>
        </w:rPr>
        <w:t>、全日制学生——全日制式培养</w:t>
      </w:r>
    </w:p>
    <w:p w14:paraId="16A729DB" w14:textId="77777777" w:rsidR="009B2E66" w:rsidRDefault="00263E47">
      <w:pPr>
        <w:ind w:firstLineChars="200" w:firstLine="420"/>
      </w:pPr>
      <w:r>
        <w:rPr>
          <w:rFonts w:hint="eastAsia"/>
        </w:rPr>
        <w:t>采用全日制式培养和管理模式，课程环节在校内完成，实行双导师负责制，专业实践和论文环节进入产学研基地，依托企业的科研项目完成。以院内导师指导为主，院外导师参与课题选择、研究指导以及论文写作等多个环节的工作。</w:t>
      </w:r>
    </w:p>
    <w:p w14:paraId="25FD7D71" w14:textId="77777777" w:rsidR="009B2E66" w:rsidRDefault="00263E47">
      <w:pPr>
        <w:rPr>
          <w:b/>
        </w:rPr>
      </w:pPr>
      <w:r>
        <w:rPr>
          <w:rFonts w:hint="eastAsia"/>
          <w:b/>
        </w:rPr>
        <w:t>3、研究生培养与培训方式</w:t>
      </w:r>
    </w:p>
    <w:tbl>
      <w:tblPr>
        <w:tblW w:w="8080" w:type="dxa"/>
        <w:tblInd w:w="-5" w:type="dxa"/>
        <w:tblLook w:val="04A0" w:firstRow="1" w:lastRow="0" w:firstColumn="1" w:lastColumn="0" w:noHBand="0" w:noVBand="1"/>
      </w:tblPr>
      <w:tblGrid>
        <w:gridCol w:w="2609"/>
        <w:gridCol w:w="1471"/>
        <w:gridCol w:w="4000"/>
      </w:tblGrid>
      <w:tr w:rsidR="009B2E66" w14:paraId="36977A4B"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C22B73"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培养培训情况</w:t>
            </w:r>
          </w:p>
        </w:tc>
        <w:tc>
          <w:tcPr>
            <w:tcW w:w="4000" w:type="dxa"/>
            <w:tcBorders>
              <w:top w:val="single" w:sz="4" w:space="0" w:color="auto"/>
              <w:left w:val="nil"/>
              <w:bottom w:val="single" w:sz="4" w:space="0" w:color="auto"/>
              <w:right w:val="single" w:sz="4" w:space="0" w:color="auto"/>
            </w:tcBorders>
            <w:shd w:val="clear" w:color="auto" w:fill="auto"/>
            <w:vAlign w:val="center"/>
          </w:tcPr>
          <w:p w14:paraId="1C0994A0"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具体方式及采取的举措</w:t>
            </w:r>
          </w:p>
        </w:tc>
      </w:tr>
      <w:tr w:rsidR="009B2E66" w14:paraId="10651B35" w14:textId="77777777">
        <w:trPr>
          <w:trHeight w:val="340"/>
        </w:trPr>
        <w:tc>
          <w:tcPr>
            <w:tcW w:w="40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3B639D"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培训情况</w:t>
            </w:r>
          </w:p>
        </w:tc>
        <w:tc>
          <w:tcPr>
            <w:tcW w:w="4000" w:type="dxa"/>
            <w:tcBorders>
              <w:top w:val="nil"/>
              <w:left w:val="nil"/>
              <w:bottom w:val="single" w:sz="4" w:space="0" w:color="auto"/>
              <w:right w:val="single" w:sz="4" w:space="0" w:color="auto"/>
            </w:tcBorders>
            <w:shd w:val="clear" w:color="auto" w:fill="auto"/>
            <w:vAlign w:val="center"/>
          </w:tcPr>
          <w:p w14:paraId="3D696C1B"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安全生产、企业文化培训，时间约</w:t>
            </w:r>
            <w:r>
              <w:rPr>
                <w:rFonts w:ascii="等线" w:eastAsia="等线" w:hAnsi="等线" w:cs="宋体" w:hint="eastAsia"/>
                <w:color w:val="000000"/>
                <w:kern w:val="0"/>
                <w:sz w:val="20"/>
                <w:szCs w:val="20"/>
              </w:rPr>
              <w:t>1</w:t>
            </w:r>
            <w:r>
              <w:rPr>
                <w:rFonts w:ascii="宋体" w:eastAsia="宋体" w:hAnsi="宋体" w:cs="宋体" w:hint="eastAsia"/>
                <w:color w:val="000000"/>
                <w:kern w:val="0"/>
                <w:sz w:val="20"/>
                <w:szCs w:val="20"/>
              </w:rPr>
              <w:t>周</w:t>
            </w:r>
          </w:p>
        </w:tc>
      </w:tr>
      <w:tr w:rsidR="009B2E66" w14:paraId="129FA268" w14:textId="77777777">
        <w:trPr>
          <w:trHeight w:val="340"/>
        </w:trPr>
        <w:tc>
          <w:tcPr>
            <w:tcW w:w="4080" w:type="dxa"/>
            <w:gridSpan w:val="2"/>
            <w:vMerge/>
            <w:tcBorders>
              <w:top w:val="single" w:sz="4" w:space="0" w:color="auto"/>
              <w:left w:val="single" w:sz="4" w:space="0" w:color="auto"/>
              <w:bottom w:val="single" w:sz="4" w:space="0" w:color="auto"/>
              <w:right w:val="single" w:sz="4" w:space="0" w:color="auto"/>
            </w:tcBorders>
            <w:vAlign w:val="center"/>
          </w:tcPr>
          <w:p w14:paraId="11D17A1A" w14:textId="77777777" w:rsidR="009B2E66" w:rsidRDefault="009B2E66">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2C45F39D"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《安规》培训及考试</w:t>
            </w:r>
          </w:p>
        </w:tc>
      </w:tr>
      <w:tr w:rsidR="009B2E66" w14:paraId="195A12A4" w14:textId="77777777">
        <w:trPr>
          <w:trHeight w:val="340"/>
        </w:trPr>
        <w:tc>
          <w:tcPr>
            <w:tcW w:w="2609" w:type="dxa"/>
            <w:vMerge w:val="restart"/>
            <w:tcBorders>
              <w:top w:val="nil"/>
              <w:left w:val="single" w:sz="4" w:space="0" w:color="auto"/>
              <w:bottom w:val="single" w:sz="4" w:space="0" w:color="auto"/>
              <w:right w:val="single" w:sz="4" w:space="0" w:color="auto"/>
            </w:tcBorders>
            <w:shd w:val="clear" w:color="auto" w:fill="auto"/>
            <w:vAlign w:val="center"/>
          </w:tcPr>
          <w:p w14:paraId="1126377E"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创新支持策略</w:t>
            </w:r>
          </w:p>
        </w:tc>
        <w:tc>
          <w:tcPr>
            <w:tcW w:w="1471" w:type="dxa"/>
            <w:vMerge w:val="restart"/>
            <w:tcBorders>
              <w:top w:val="nil"/>
              <w:left w:val="single" w:sz="4" w:space="0" w:color="auto"/>
              <w:bottom w:val="single" w:sz="4" w:space="0" w:color="auto"/>
              <w:right w:val="single" w:sz="4" w:space="0" w:color="auto"/>
            </w:tcBorders>
            <w:shd w:val="clear" w:color="auto" w:fill="auto"/>
            <w:vAlign w:val="center"/>
          </w:tcPr>
          <w:p w14:paraId="022B89B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学术活动</w:t>
            </w:r>
          </w:p>
        </w:tc>
        <w:tc>
          <w:tcPr>
            <w:tcW w:w="4000" w:type="dxa"/>
            <w:tcBorders>
              <w:top w:val="nil"/>
              <w:left w:val="nil"/>
              <w:bottom w:val="single" w:sz="4" w:space="0" w:color="auto"/>
              <w:right w:val="single" w:sz="4" w:space="0" w:color="auto"/>
            </w:tcBorders>
            <w:shd w:val="clear" w:color="auto" w:fill="auto"/>
            <w:vAlign w:val="center"/>
          </w:tcPr>
          <w:p w14:paraId="5B4FA42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每年</w:t>
            </w:r>
            <w:r>
              <w:rPr>
                <w:rFonts w:ascii="等线" w:eastAsia="等线" w:hAnsi="等线" w:cs="宋体" w:hint="eastAsia"/>
                <w:color w:val="000000"/>
                <w:kern w:val="0"/>
                <w:sz w:val="20"/>
                <w:szCs w:val="20"/>
              </w:rPr>
              <w:t>1-2</w:t>
            </w:r>
            <w:r>
              <w:rPr>
                <w:rFonts w:ascii="宋体" w:eastAsia="宋体" w:hAnsi="宋体" w:cs="宋体" w:hint="eastAsia"/>
                <w:color w:val="000000"/>
                <w:kern w:val="0"/>
                <w:sz w:val="20"/>
                <w:szCs w:val="20"/>
              </w:rPr>
              <w:t>次工作站内部技术交流会</w:t>
            </w:r>
          </w:p>
        </w:tc>
      </w:tr>
      <w:tr w:rsidR="009B2E66" w14:paraId="58FEFF4E"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2F89E237" w14:textId="77777777" w:rsidR="009B2E66" w:rsidRDefault="009B2E66">
            <w:pPr>
              <w:widowControl/>
              <w:jc w:val="left"/>
              <w:rPr>
                <w:rFonts w:ascii="宋体" w:eastAsia="宋体" w:hAnsi="宋体" w:cs="宋体"/>
                <w:color w:val="000000"/>
                <w:kern w:val="0"/>
                <w:sz w:val="20"/>
                <w:szCs w:val="20"/>
              </w:rPr>
            </w:pPr>
          </w:p>
        </w:tc>
        <w:tc>
          <w:tcPr>
            <w:tcW w:w="1471" w:type="dxa"/>
            <w:vMerge/>
            <w:tcBorders>
              <w:top w:val="nil"/>
              <w:left w:val="single" w:sz="4" w:space="0" w:color="auto"/>
              <w:bottom w:val="single" w:sz="4" w:space="0" w:color="auto"/>
              <w:right w:val="single" w:sz="4" w:space="0" w:color="auto"/>
            </w:tcBorders>
            <w:vAlign w:val="center"/>
          </w:tcPr>
          <w:p w14:paraId="57B81A24" w14:textId="77777777" w:rsidR="009B2E66" w:rsidRDefault="009B2E66">
            <w:pPr>
              <w:widowControl/>
              <w:jc w:val="left"/>
              <w:rPr>
                <w:rFonts w:ascii="宋体" w:eastAsia="宋体" w:hAnsi="宋体" w:cs="宋体"/>
                <w:color w:val="000000"/>
                <w:kern w:val="0"/>
                <w:sz w:val="20"/>
                <w:szCs w:val="20"/>
              </w:rPr>
            </w:pPr>
          </w:p>
        </w:tc>
        <w:tc>
          <w:tcPr>
            <w:tcW w:w="4000" w:type="dxa"/>
            <w:tcBorders>
              <w:top w:val="nil"/>
              <w:left w:val="nil"/>
              <w:bottom w:val="single" w:sz="4" w:space="0" w:color="auto"/>
              <w:right w:val="single" w:sz="4" w:space="0" w:color="auto"/>
            </w:tcBorders>
            <w:shd w:val="clear" w:color="auto" w:fill="auto"/>
            <w:vAlign w:val="center"/>
          </w:tcPr>
          <w:p w14:paraId="4CCFBFD4"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支持参加国内会议</w:t>
            </w:r>
          </w:p>
        </w:tc>
      </w:tr>
      <w:tr w:rsidR="009B2E66" w14:paraId="31C75519" w14:textId="77777777">
        <w:trPr>
          <w:trHeight w:val="340"/>
        </w:trPr>
        <w:tc>
          <w:tcPr>
            <w:tcW w:w="2609" w:type="dxa"/>
            <w:vMerge/>
            <w:tcBorders>
              <w:top w:val="nil"/>
              <w:left w:val="single" w:sz="4" w:space="0" w:color="auto"/>
              <w:bottom w:val="single" w:sz="4" w:space="0" w:color="auto"/>
              <w:right w:val="single" w:sz="4" w:space="0" w:color="auto"/>
            </w:tcBorders>
            <w:vAlign w:val="center"/>
          </w:tcPr>
          <w:p w14:paraId="499544A1" w14:textId="77777777" w:rsidR="009B2E66" w:rsidRDefault="009B2E66">
            <w:pPr>
              <w:widowControl/>
              <w:jc w:val="left"/>
              <w:rPr>
                <w:rFonts w:ascii="宋体" w:eastAsia="宋体" w:hAnsi="宋体" w:cs="宋体"/>
                <w:color w:val="000000"/>
                <w:kern w:val="0"/>
                <w:sz w:val="20"/>
                <w:szCs w:val="20"/>
              </w:rPr>
            </w:pPr>
          </w:p>
        </w:tc>
        <w:tc>
          <w:tcPr>
            <w:tcW w:w="1471" w:type="dxa"/>
            <w:tcBorders>
              <w:top w:val="nil"/>
              <w:left w:val="nil"/>
              <w:bottom w:val="single" w:sz="4" w:space="0" w:color="auto"/>
              <w:right w:val="single" w:sz="4" w:space="0" w:color="auto"/>
            </w:tcBorders>
            <w:shd w:val="clear" w:color="auto" w:fill="auto"/>
            <w:vAlign w:val="center"/>
          </w:tcPr>
          <w:p w14:paraId="7E76A089"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论文发表及申请专利等支持</w:t>
            </w:r>
          </w:p>
        </w:tc>
        <w:tc>
          <w:tcPr>
            <w:tcW w:w="4000" w:type="dxa"/>
            <w:tcBorders>
              <w:top w:val="nil"/>
              <w:left w:val="nil"/>
              <w:bottom w:val="single" w:sz="4" w:space="0" w:color="auto"/>
              <w:right w:val="single" w:sz="4" w:space="0" w:color="auto"/>
            </w:tcBorders>
            <w:shd w:val="clear" w:color="auto" w:fill="auto"/>
            <w:vAlign w:val="center"/>
          </w:tcPr>
          <w:p w14:paraId="27F9B5F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支持，工作站提供费用</w:t>
            </w:r>
          </w:p>
        </w:tc>
      </w:tr>
      <w:tr w:rsidR="009B2E66" w14:paraId="67719263"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185DAC"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就业支持与帮助</w:t>
            </w:r>
          </w:p>
        </w:tc>
        <w:tc>
          <w:tcPr>
            <w:tcW w:w="4000" w:type="dxa"/>
            <w:tcBorders>
              <w:top w:val="nil"/>
              <w:left w:val="nil"/>
              <w:bottom w:val="single" w:sz="4" w:space="0" w:color="auto"/>
              <w:right w:val="single" w:sz="4" w:space="0" w:color="auto"/>
            </w:tcBorders>
            <w:shd w:val="clear" w:color="auto" w:fill="auto"/>
            <w:vAlign w:val="center"/>
          </w:tcPr>
          <w:p w14:paraId="0CCE752A"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优先向云南电网公司各单位推荐</w:t>
            </w:r>
          </w:p>
        </w:tc>
      </w:tr>
      <w:tr w:rsidR="009B2E66" w14:paraId="545D9CC3" w14:textId="77777777">
        <w:trPr>
          <w:trHeight w:val="340"/>
        </w:trPr>
        <w:tc>
          <w:tcPr>
            <w:tcW w:w="40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09E0C5"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其它培养方面的举措</w:t>
            </w:r>
          </w:p>
        </w:tc>
        <w:tc>
          <w:tcPr>
            <w:tcW w:w="4000" w:type="dxa"/>
            <w:tcBorders>
              <w:top w:val="nil"/>
              <w:left w:val="nil"/>
              <w:bottom w:val="single" w:sz="4" w:space="0" w:color="auto"/>
              <w:right w:val="single" w:sz="4" w:space="0" w:color="auto"/>
            </w:tcBorders>
            <w:shd w:val="clear" w:color="auto" w:fill="auto"/>
            <w:vAlign w:val="center"/>
          </w:tcPr>
          <w:p w14:paraId="1500A243" w14:textId="77777777" w:rsidR="009B2E66" w:rsidRDefault="00263E47">
            <w:pPr>
              <w:widowControl/>
              <w:jc w:val="center"/>
              <w:rPr>
                <w:rFonts w:ascii="宋体" w:eastAsia="宋体" w:hAnsi="宋体" w:cs="宋体"/>
                <w:color w:val="000000"/>
                <w:kern w:val="0"/>
                <w:sz w:val="20"/>
                <w:szCs w:val="20"/>
              </w:rPr>
            </w:pPr>
            <w:r>
              <w:rPr>
                <w:rFonts w:ascii="宋体" w:eastAsia="宋体" w:hAnsi="宋体" w:cs="宋体" w:hint="eastAsia"/>
                <w:color w:val="000000"/>
                <w:kern w:val="0"/>
                <w:sz w:val="20"/>
                <w:szCs w:val="20"/>
              </w:rPr>
              <w:t>精品讲堂、学术交流会等</w:t>
            </w:r>
          </w:p>
        </w:tc>
      </w:tr>
    </w:tbl>
    <w:p w14:paraId="2653B610" w14:textId="77777777" w:rsidR="009B2E66" w:rsidRDefault="009B2E66"/>
    <w:p w14:paraId="747C59C1" w14:textId="77777777" w:rsidR="009B2E66" w:rsidRDefault="00263E47">
      <w:pPr>
        <w:rPr>
          <w:b/>
        </w:rPr>
      </w:pPr>
      <w:r>
        <w:rPr>
          <w:rFonts w:hint="eastAsia"/>
          <w:b/>
        </w:rPr>
        <w:t>4、就业去向</w:t>
      </w:r>
    </w:p>
    <w:p w14:paraId="618C2810" w14:textId="77777777" w:rsidR="009B2E66" w:rsidRDefault="00263E47">
      <w:r>
        <w:t>A</w:t>
      </w:r>
      <w:r>
        <w:rPr>
          <w:rFonts w:hint="eastAsia"/>
        </w:rPr>
        <w:t>、</w:t>
      </w:r>
      <w:proofErr w:type="gramStart"/>
      <w:r>
        <w:rPr>
          <w:rFonts w:hint="eastAsia"/>
        </w:rPr>
        <w:t>留公司</w:t>
      </w:r>
      <w:proofErr w:type="gramEnd"/>
      <w:r>
        <w:rPr>
          <w:rFonts w:hint="eastAsia"/>
        </w:rPr>
        <w:t>任职</w:t>
      </w:r>
    </w:p>
    <w:p w14:paraId="58E9DDD4" w14:textId="77777777" w:rsidR="009B2E66" w:rsidRDefault="00263E47">
      <w:pPr>
        <w:ind w:firstLineChars="200" w:firstLine="420"/>
      </w:pPr>
      <w:r>
        <w:rPr>
          <w:rFonts w:hint="eastAsia"/>
        </w:rPr>
        <w:t>进站参加过联合培养的优秀应届硕士研究毕业生，在参加省公司系统各单位自主应届毕业生招录时，同等条件下可优先。</w:t>
      </w:r>
    </w:p>
    <w:p w14:paraId="1EEFFD10" w14:textId="77777777" w:rsidR="009B2E66" w:rsidRDefault="00263E47">
      <w:r>
        <w:rPr>
          <w:rFonts w:hint="eastAsia"/>
        </w:rPr>
        <w:t>B、自主就业</w:t>
      </w:r>
    </w:p>
    <w:p w14:paraId="77CC09A1" w14:textId="77777777" w:rsidR="009B2E66" w:rsidRDefault="00263E47">
      <w:pPr>
        <w:ind w:firstLineChars="200" w:firstLine="420"/>
      </w:pPr>
      <w:r>
        <w:rPr>
          <w:rFonts w:hint="eastAsia"/>
        </w:rPr>
        <w:t>毕业后自行选择就业单位</w:t>
      </w:r>
    </w:p>
    <w:p w14:paraId="699A55E1" w14:textId="77777777" w:rsidR="009B2E66" w:rsidRDefault="00263E47">
      <w:r>
        <w:rPr>
          <w:rFonts w:hint="eastAsia"/>
        </w:rPr>
        <w:t>C、继续深造</w:t>
      </w:r>
    </w:p>
    <w:p w14:paraId="60DD8442" w14:textId="77777777" w:rsidR="009B2E66" w:rsidRDefault="00263E47">
      <w:pPr>
        <w:ind w:firstLineChars="200" w:firstLine="420"/>
      </w:pPr>
      <w:r>
        <w:rPr>
          <w:rFonts w:hint="eastAsia"/>
        </w:rPr>
        <w:t>与合作高校进行联合培养攻读博士。</w:t>
      </w:r>
    </w:p>
    <w:p w14:paraId="2D27CAEB" w14:textId="77777777" w:rsidR="009B2E66" w:rsidRDefault="00263E47">
      <w:pPr>
        <w:rPr>
          <w:b/>
        </w:rPr>
      </w:pPr>
      <w:r>
        <w:rPr>
          <w:rFonts w:hint="eastAsia"/>
          <w:b/>
        </w:rPr>
        <w:t>四、联合培养专家介绍</w:t>
      </w:r>
    </w:p>
    <w:p w14:paraId="6AA06545" w14:textId="77777777" w:rsidR="009B2E66" w:rsidRDefault="00263E47">
      <w:pPr>
        <w:ind w:firstLineChars="200" w:firstLine="420"/>
      </w:pPr>
      <w:r>
        <w:rPr>
          <w:rFonts w:hint="eastAsia"/>
          <w:b/>
        </w:rPr>
        <w:t>苏适</w:t>
      </w:r>
      <w:r>
        <w:rPr>
          <w:rFonts w:hint="eastAsia"/>
        </w:rPr>
        <w:t>：云南电科院，云南电网公司二级技术专家，教授级高级工程师，享受云南省政府特殊津贴。在新能源消纳与能源综合利用技术方面有多年工作经验和较深入的研究。主持了云南省重大科技专项“新能源消纳与能源综合利用关键技术研究与示范”；主要参与了国家</w:t>
      </w:r>
      <w:r>
        <w:t>863课题“基于分布式能源的用户侧智能微电网关键技术研究与集成示范”；主持建设了云南省省级工程实验室“云南省新能源发电消纳技术工程实验室”和“云南电网智能微网实验室”；主持完成了</w:t>
      </w:r>
      <w:proofErr w:type="gramStart"/>
      <w:r>
        <w:t>华能石光</w:t>
      </w:r>
      <w:proofErr w:type="gramEnd"/>
      <w:r>
        <w:t>伏电站一期10MW的现场调试及并网试验工作。作为全国电力储能标委会、</w:t>
      </w:r>
      <w:proofErr w:type="gramStart"/>
      <w:r>
        <w:t>全国微网与</w:t>
      </w:r>
      <w:proofErr w:type="gramEnd"/>
      <w:r>
        <w:t>分布式电源标</w:t>
      </w:r>
      <w:r>
        <w:rPr>
          <w:rFonts w:hint="eastAsia"/>
        </w:rPr>
        <w:t>委会和能源行业</w:t>
      </w:r>
      <w:proofErr w:type="gramStart"/>
      <w:r>
        <w:rPr>
          <w:rFonts w:hint="eastAsia"/>
        </w:rPr>
        <w:t>风电标</w:t>
      </w:r>
      <w:proofErr w:type="gramEnd"/>
      <w:r>
        <w:rPr>
          <w:rFonts w:hint="eastAsia"/>
        </w:rPr>
        <w:t>委会的委员，多次参加国标、</w:t>
      </w:r>
      <w:proofErr w:type="gramStart"/>
      <w:r>
        <w:rPr>
          <w:rFonts w:hint="eastAsia"/>
        </w:rPr>
        <w:t>行标</w:t>
      </w:r>
      <w:proofErr w:type="gramEnd"/>
      <w:r>
        <w:rPr>
          <w:rFonts w:hint="eastAsia"/>
        </w:rPr>
        <w:t>和</w:t>
      </w:r>
      <w:r>
        <w:rPr>
          <w:rFonts w:hint="eastAsia"/>
        </w:rPr>
        <w:lastRenderedPageBreak/>
        <w:t>企业标的评审。主持和参加的科技项目获中国电力科技进步奖、南方电网公司等十多项，在国内外各级期刊和学术国际会议上发表论文数十篇，获得专利</w:t>
      </w:r>
      <w:proofErr w:type="gramStart"/>
      <w:r>
        <w:rPr>
          <w:rFonts w:hint="eastAsia"/>
        </w:rPr>
        <w:t>授权十</w:t>
      </w:r>
      <w:proofErr w:type="gramEnd"/>
      <w:r>
        <w:rPr>
          <w:rFonts w:hint="eastAsia"/>
        </w:rPr>
        <w:t>多项。</w:t>
      </w:r>
    </w:p>
    <w:p w14:paraId="265A0858" w14:textId="77777777" w:rsidR="009B2E66" w:rsidRDefault="00263E47">
      <w:pPr>
        <w:ind w:firstLineChars="200" w:firstLine="420"/>
      </w:pPr>
      <w:r>
        <w:rPr>
          <w:rFonts w:hint="eastAsia"/>
          <w:b/>
        </w:rPr>
        <w:t>李胜男</w:t>
      </w:r>
      <w:r>
        <w:rPr>
          <w:rFonts w:hint="eastAsia"/>
        </w:rPr>
        <w:t>：云南电科院，云南电网二级技术专家，教授级高级工程师，一直从事电力系统继电保护专业及自动化专业，近三年负责及主要参与了五项科技项目，研究主要方向为系统试验和二次系统，固态限流器、新能源并网试验、变压器非电量保护。负责过</w:t>
      </w:r>
      <w:proofErr w:type="gramStart"/>
      <w:r>
        <w:rPr>
          <w:rFonts w:hint="eastAsia"/>
        </w:rPr>
        <w:t>南网重点</w:t>
      </w:r>
      <w:proofErr w:type="gramEnd"/>
      <w:r>
        <w:rPr>
          <w:rFonts w:hint="eastAsia"/>
        </w:rPr>
        <w:t>科技项目，参与国家重点研发计划“光伏直流升压并网”课题。</w:t>
      </w:r>
    </w:p>
    <w:p w14:paraId="66FEF09B" w14:textId="77777777" w:rsidR="009B2E66" w:rsidRDefault="00263E47">
      <w:pPr>
        <w:ind w:firstLineChars="200" w:firstLine="420"/>
      </w:pPr>
      <w:r>
        <w:rPr>
          <w:rFonts w:hint="eastAsia"/>
          <w:b/>
        </w:rPr>
        <w:t>马仪：</w:t>
      </w:r>
      <w:r>
        <w:rPr>
          <w:rFonts w:hint="eastAsia"/>
        </w:rPr>
        <w:t>云南电科院，云南电网专家，</w:t>
      </w:r>
      <w:r>
        <w:t xml:space="preserve"> 主持推进电网雷电定位监测、雷电参数分析、雷害分布图绘制及应用等系列防雷工作。负责开展过大量高海拔外绝缘特性试验研究，如交流、冲击空气间隙放电特性研究，绝缘子交直流污秽闪络特性研究，高海拔直流自然积</w:t>
      </w:r>
      <w:proofErr w:type="gramStart"/>
      <w:r>
        <w:t>污试验</w:t>
      </w:r>
      <w:proofErr w:type="gramEnd"/>
      <w:r>
        <w:t>研究等。获得地厅级及以上的奖励20余项。</w:t>
      </w:r>
    </w:p>
    <w:p w14:paraId="5D6165F0" w14:textId="77777777" w:rsidR="009B2E66" w:rsidRDefault="00263E47">
      <w:pPr>
        <w:ind w:firstLineChars="200" w:firstLine="420"/>
      </w:pPr>
      <w:r>
        <w:rPr>
          <w:rFonts w:hint="eastAsia"/>
          <w:b/>
        </w:rPr>
        <w:t>谭向宇：</w:t>
      </w:r>
      <w:r>
        <w:t>工学博士，第五届、第六届全国高电压试验技术标准化分技术委员会测试技术及设备专家组委员、全国高压仪器仪表专业标准化技术委员会工作组委员、中国电工技术学会电工测试专业委员会委员，美国电气和电子工程师协会IEEE和IEEE PES会员，</w:t>
      </w:r>
      <w:proofErr w:type="spellStart"/>
      <w:r>
        <w:t>IECExpert</w:t>
      </w:r>
      <w:proofErr w:type="spellEnd"/>
      <w:r>
        <w:t>及TC42 JWG22 Atmospheric and altitude correction联合工作组成员，国家科技奖评审专家，中国博士后科学基金评审专家，国家级中文核心期刊《电工技术》编委，西安交通大学研究生企业导师，重庆大学特聘研究员，浙江大学电气学</w:t>
      </w:r>
      <w:r>
        <w:rPr>
          <w:rFonts w:hint="eastAsia"/>
        </w:rPr>
        <w:t>院研究生企业导师，美国</w:t>
      </w:r>
      <w:r>
        <w:t>JAP、英国J. Phys. D: Appl. Phys.、IEEE DEI.等期刊审稿人。遴选为云南省2016年度有突出贡献优秀专业技术人才并享受政府津贴、2019</w:t>
      </w:r>
      <w:proofErr w:type="gramStart"/>
      <w:r>
        <w:t>年入选云南省“</w:t>
      </w:r>
      <w:proofErr w:type="gramEnd"/>
      <w:r>
        <w:t>万人计划”青年拔尖人才、2019年度中国优秀青年能源科技工作者奖、昆明市中青年学术和技术带头人、中国电力市场电力企业科技创新优秀带头人、中国南方电网有限责任公司首批年轻专业技术人才。主持和参与国家重点研发计划、国家自然科学基金、云南省科技重点专项、南网科技项目共16项。发表论文140余篇，被SCI/EI核心检</w:t>
      </w:r>
      <w:r>
        <w:rPr>
          <w:rFonts w:hint="eastAsia"/>
        </w:rPr>
        <w:t>索</w:t>
      </w:r>
      <w:r>
        <w:t>20余篇；出版专著4部。累计申请专利450项（其中授权中国发明专利68项，授权中国实用新型专利110项，授权美国发明专利1项），获省部级科技进步奖11项。</w:t>
      </w:r>
    </w:p>
    <w:p w14:paraId="7C909D26" w14:textId="77777777" w:rsidR="009B2E66" w:rsidRDefault="00263E47">
      <w:pPr>
        <w:ind w:firstLineChars="200" w:firstLine="420"/>
      </w:pPr>
      <w:r>
        <w:rPr>
          <w:rFonts w:hint="eastAsia"/>
          <w:b/>
        </w:rPr>
        <w:t>杨家全</w:t>
      </w:r>
      <w:r>
        <w:rPr>
          <w:rFonts w:hint="eastAsia"/>
        </w:rPr>
        <w:t>：云南电科院，云南电网公司三级技术专家，高级工程师。从事智能电网及其安全防护方面的关键技术与应用研究。主要参与了国家</w:t>
      </w:r>
      <w:r>
        <w:t>863课题“基于物联网技术的输变电智能监测与全寿命周期管理”和“基于分布式能源的用户测智能微电网关键技术研究与集成示范”，主持开展南方电网科技项目10余项。主持建设了云南电网自动化技术监督实证实验室和电力监控系统安全防护体系实验室。参与了云南多座大型水电站、新能源电站、智能变电站及智能配电网等工程建设的调试及测试工作。作为中国电工技术学会电动汽车</w:t>
      </w:r>
      <w:proofErr w:type="gramStart"/>
      <w:r>
        <w:t>充换电</w:t>
      </w:r>
      <w:proofErr w:type="gramEnd"/>
      <w:r>
        <w:t>系统与试验专委会、EPTC智能配电专</w:t>
      </w:r>
      <w:r>
        <w:rPr>
          <w:rFonts w:hint="eastAsia"/>
        </w:rPr>
        <w:t>委会委员，参与多项国标和行标的评审工作。主持和参与的科技成果获中国电力科技进步奖、南方电网科技进步奖和专利奖等</w:t>
      </w:r>
      <w:r>
        <w:t>10余项，发表专业技术论文10余篇，授权发明专利5项。</w:t>
      </w:r>
    </w:p>
    <w:p w14:paraId="52E9A966" w14:textId="77777777" w:rsidR="009B2E66" w:rsidRDefault="00263E47">
      <w:pPr>
        <w:ind w:firstLineChars="200" w:firstLine="420"/>
      </w:pPr>
      <w:r>
        <w:rPr>
          <w:rFonts w:hint="eastAsia"/>
          <w:b/>
        </w:rPr>
        <w:t>邓云坤</w:t>
      </w:r>
      <w:r>
        <w:rPr>
          <w:rFonts w:hint="eastAsia"/>
        </w:rPr>
        <w:t>：工学博士，云南省“高层次人才引进计划”青年人才，云南电网有限责任公司二级助理技术专家、“高原环保电力设备项目团队”负责人。长期从事环保型气体绝缘材料放电机理及电气性能提升优化、绿色环保型输变电装备开发工作。近年来，主持省部级项目</w:t>
      </w:r>
      <w:r>
        <w:t>2项、南方电网公司科技项目4项，出版专著2本，发表SCI/EI检索论文40余篇，授权发明专利10余项，有力推动了环保型绝缘材料在电力领域的研究及应用。现为全国专业标准化技术委员会委员，中国电工技术学会绝缘材料与绝缘技术专委会委员、电接触与电弧专委会委员，中国电机工程学会高级会</w:t>
      </w:r>
      <w:r>
        <w:rPr>
          <w:rFonts w:hint="eastAsia"/>
        </w:rPr>
        <w:t>员，全国输配电技术协作网环保气体绝缘金属封闭开关设备工作组专家，瑞士国家自然科学基金、《</w:t>
      </w:r>
      <w:r>
        <w:t>IEEE TDEI》、《Chinese Physics B》、《中国电机工程学报》《高电压技术》等学术机构及期刊的评审专家。先后获云南省电机工程学会先进个人、云南电网公司科技管理先进个人、《高电压技术》优秀审稿人等荣誉称号。</w:t>
      </w:r>
    </w:p>
    <w:p w14:paraId="69148BCA" w14:textId="77777777" w:rsidR="009B2E66" w:rsidRDefault="00263E47">
      <w:pPr>
        <w:ind w:firstLineChars="200" w:firstLine="420"/>
      </w:pPr>
      <w:r>
        <w:rPr>
          <w:rFonts w:hint="eastAsia"/>
          <w:b/>
        </w:rPr>
        <w:t>陈勇：</w:t>
      </w:r>
      <w:r>
        <w:rPr>
          <w:rFonts w:hint="eastAsia"/>
        </w:rPr>
        <w:t>云南电科院，云南电网有限责任公司三级技术专家，高级工程师，云南省</w:t>
      </w:r>
      <w:r>
        <w:t>2020</w:t>
      </w:r>
      <w:r>
        <w:lastRenderedPageBreak/>
        <w:t>年度有突出贡献优秀专业技术人才，获云南省五一劳动奖章。在继电保护专业方面有多年现场工作经验，对智能变电站、继电保护试验新技术方面有较深入研究。主持了“基于仿真的变电站继电保护系统运行风险评估技术研究”、“基于一次系统故障模拟的变电站二次系统测试技术研究”、“高截止频率电子互感器在智能电网中的应用研究”等</w:t>
      </w:r>
      <w:proofErr w:type="gramStart"/>
      <w:r>
        <w:t>南网科技</w:t>
      </w:r>
      <w:proofErr w:type="gramEnd"/>
      <w:r>
        <w:t>项目的研究。主持完成了云南省500kV砚山变预试定检，主持完成了云南首个3C智能变电站的二次专业调试。作为电力行业继电保护</w:t>
      </w:r>
      <w:r>
        <w:rPr>
          <w:rFonts w:hint="eastAsia"/>
        </w:rPr>
        <w:t>标委会委员，多次参加行标的评审。主持和参加的科技项目获南方电网科技进步奖多项。在各级期刊和学术会议上发表专业论文十多篇，获得专利</w:t>
      </w:r>
      <w:proofErr w:type="gramStart"/>
      <w:r>
        <w:rPr>
          <w:rFonts w:hint="eastAsia"/>
        </w:rPr>
        <w:t>授权十</w:t>
      </w:r>
      <w:proofErr w:type="gramEnd"/>
      <w:r>
        <w:rPr>
          <w:rFonts w:hint="eastAsia"/>
        </w:rPr>
        <w:t>多项。</w:t>
      </w:r>
    </w:p>
    <w:p w14:paraId="5443A723" w14:textId="77777777" w:rsidR="009B2E66" w:rsidRDefault="00263E47">
      <w:pPr>
        <w:ind w:firstLineChars="200" w:firstLine="420"/>
      </w:pPr>
      <w:r>
        <w:rPr>
          <w:rFonts w:hint="eastAsia"/>
          <w:b/>
        </w:rPr>
        <w:t>彭庆军</w:t>
      </w:r>
      <w:r>
        <w:rPr>
          <w:rFonts w:hint="eastAsia"/>
        </w:rPr>
        <w:t>：工学博士（高级工程师），云南电网有限责任公司三级技术专家，</w:t>
      </w:r>
      <w:r>
        <w:t>2020年获得云南省高层次青年拔尖人才计划，2018年获聘云南电科院仿真计算专业技术带头人，2020年9月获聘重庆大学能源动力专业硕士研究生导师和广西能源动力专业硕士研究生导师，IEEE PES （中国）电力系统保护控制技术委员会电气设备在线监测与故障</w:t>
      </w:r>
      <w:proofErr w:type="gramStart"/>
      <w:r>
        <w:t>预警分</w:t>
      </w:r>
      <w:proofErr w:type="gramEnd"/>
      <w:r>
        <w:t>委员会，全国高原电工产品环境技术标准化技术委员会委员，IEEE PES直流输变电设备技术分委会高压直流设备多物理场仿真技术工作组WG2(1)成员，中</w:t>
      </w:r>
      <w:proofErr w:type="gramStart"/>
      <w:r>
        <w:t>电联输变</w:t>
      </w:r>
      <w:proofErr w:type="gramEnd"/>
      <w:r>
        <w:t>电设备仿真技术标准化技术委员会委</w:t>
      </w:r>
      <w:r>
        <w:rPr>
          <w:rFonts w:hint="eastAsia"/>
        </w:rPr>
        <w:t>员。主持和参与开展了中国博士后基金、国家重点研发专项、南方电网公司重点科技项目、云南电网公司科技项目</w:t>
      </w:r>
      <w:r>
        <w:t>13项。先后获得云南省人民政府科学技术奖、中国电力科学技术进步奖、中国电力企业联合会技术创新奖、中国南方电网有限责任公司科技进步奖、云南电网有限责任公司科技进步奖等各种奖励44项，其中云南省科学技术三等奖2项，</w:t>
      </w:r>
      <w:proofErr w:type="gramStart"/>
      <w:r>
        <w:t>电力奖</w:t>
      </w:r>
      <w:proofErr w:type="gramEnd"/>
      <w:r>
        <w:t>等行业学/协会奖励3项。在各类期刊国际学术会议发表科技论文60篇。申请专利84项，其中发明专利64项，负责组织或参与修编标准7项，其中主持国家标准1项、行业标准1项、地方标准2项，参与国家标准1项</w:t>
      </w:r>
      <w:r>
        <w:rPr>
          <w:rFonts w:hint="eastAsia"/>
        </w:rPr>
        <w:t>、</w:t>
      </w:r>
      <w:r>
        <w:t>IEEE标准两项。</w:t>
      </w:r>
    </w:p>
    <w:p w14:paraId="426FD2FD" w14:textId="77777777" w:rsidR="009B2E66" w:rsidRDefault="009B2E66"/>
    <w:p w14:paraId="56FE159E" w14:textId="77777777" w:rsidR="009B2E66" w:rsidRDefault="00263E47">
      <w:r>
        <w:rPr>
          <w:rFonts w:hint="eastAsia"/>
        </w:rPr>
        <w:t>工作生活环境</w:t>
      </w:r>
    </w:p>
    <w:p w14:paraId="6C9022D7" w14:textId="77777777" w:rsidR="009B2E66" w:rsidRDefault="00263E47">
      <w:r>
        <w:rPr>
          <w:rFonts w:hint="eastAsia"/>
        </w:rPr>
        <w:t>宽敞的办公室，办公设备齐全，独立的工位，为您提供温馨的办公环境。</w:t>
      </w:r>
    </w:p>
    <w:p w14:paraId="70958724" w14:textId="77777777" w:rsidR="009B2E66" w:rsidRDefault="00263E47">
      <w:r>
        <w:t xml:space="preserve"> </w:t>
      </w:r>
      <w:r>
        <w:rPr>
          <w:noProof/>
        </w:rPr>
        <w:drawing>
          <wp:inline distT="0" distB="0" distL="0" distR="0" wp14:anchorId="14276A95" wp14:editId="47308C01">
            <wp:extent cx="4312920" cy="2320925"/>
            <wp:effectExtent l="0" t="0" r="1143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331918" cy="2331287"/>
                    </a:xfrm>
                    <a:prstGeom prst="rect">
                      <a:avLst/>
                    </a:prstGeom>
                  </pic:spPr>
                </pic:pic>
              </a:graphicData>
            </a:graphic>
          </wp:inline>
        </w:drawing>
      </w:r>
    </w:p>
    <w:p w14:paraId="336E65CB" w14:textId="77777777" w:rsidR="009B2E66" w:rsidRDefault="00263E47">
      <w:r>
        <w:rPr>
          <w:noProof/>
        </w:rPr>
        <w:lastRenderedPageBreak/>
        <w:drawing>
          <wp:inline distT="0" distB="0" distL="0" distR="0" wp14:anchorId="2C77CCD8" wp14:editId="0AFA4314">
            <wp:extent cx="4278630" cy="3208655"/>
            <wp:effectExtent l="0" t="0" r="7620" b="10795"/>
            <wp:docPr id="2" name="图片 2" descr="C:\Users\zakizhou\Documents\Tencent Files\494711249\FileRecv\MobileFile\IMG_20190313_11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zakizhou\Documents\Tencent Files\494711249\FileRecv\MobileFile\IMG_20190313_11043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282082" cy="3211304"/>
                    </a:xfrm>
                    <a:prstGeom prst="rect">
                      <a:avLst/>
                    </a:prstGeom>
                    <a:noFill/>
                    <a:ln>
                      <a:noFill/>
                    </a:ln>
                  </pic:spPr>
                </pic:pic>
              </a:graphicData>
            </a:graphic>
          </wp:inline>
        </w:drawing>
      </w:r>
    </w:p>
    <w:p w14:paraId="2D43DE03" w14:textId="77777777" w:rsidR="009B2E66" w:rsidRDefault="00263E47">
      <w:r>
        <w:rPr>
          <w:rFonts w:hint="eastAsia"/>
        </w:rPr>
        <w:t>优美的园区环境，在美丽的春城，时常保持春意盎然。</w:t>
      </w:r>
    </w:p>
    <w:p w14:paraId="1FA8D496" w14:textId="77777777" w:rsidR="009B2E66" w:rsidRDefault="00263E47">
      <w:r>
        <w:rPr>
          <w:rFonts w:hint="eastAsia"/>
        </w:rPr>
        <w:t>园区内还配有篮球场，羽毛球场，网球场，乒乓球室，健身房等文体休闲娱乐设施，且全部免费向员工开放，园区还会定期举行各类文体活动，丰富大家的业余生活。</w:t>
      </w:r>
    </w:p>
    <w:p w14:paraId="2AF03A83" w14:textId="77777777" w:rsidR="009B2E66" w:rsidRDefault="00263E47">
      <w:r>
        <w:rPr>
          <w:rFonts w:hint="eastAsia"/>
          <w:noProof/>
        </w:rPr>
        <w:drawing>
          <wp:inline distT="0" distB="0" distL="114300" distR="114300" wp14:anchorId="3DEC0A1E" wp14:editId="234CEF0D">
            <wp:extent cx="4714240" cy="2959100"/>
            <wp:effectExtent l="0" t="0" r="10160" b="12700"/>
            <wp:docPr id="7" name="图片 7" descr="QQ图片2019031510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190315103738"/>
                    <pic:cNvPicPr>
                      <a:picLocks noChangeAspect="1"/>
                    </pic:cNvPicPr>
                  </pic:nvPicPr>
                  <pic:blipFill>
                    <a:blip r:embed="rId7"/>
                    <a:stretch>
                      <a:fillRect/>
                    </a:stretch>
                  </pic:blipFill>
                  <pic:spPr>
                    <a:xfrm>
                      <a:off x="0" y="0"/>
                      <a:ext cx="4714240" cy="2959100"/>
                    </a:xfrm>
                    <a:prstGeom prst="rect">
                      <a:avLst/>
                    </a:prstGeom>
                  </pic:spPr>
                </pic:pic>
              </a:graphicData>
            </a:graphic>
          </wp:inline>
        </w:drawing>
      </w:r>
    </w:p>
    <w:p w14:paraId="5D017A05" w14:textId="77777777" w:rsidR="009B2E66" w:rsidRDefault="00263E47">
      <w:r>
        <w:rPr>
          <w:rFonts w:hint="eastAsia"/>
          <w:noProof/>
        </w:rPr>
        <w:lastRenderedPageBreak/>
        <w:drawing>
          <wp:inline distT="0" distB="0" distL="114300" distR="114300" wp14:anchorId="597B8A81" wp14:editId="737D6D52">
            <wp:extent cx="4741545" cy="4749165"/>
            <wp:effectExtent l="0" t="0" r="1905" b="13335"/>
            <wp:docPr id="6" name="图片 6" descr="QQ图片2019031510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QQ图片20190315103652"/>
                    <pic:cNvPicPr>
                      <a:picLocks noChangeAspect="1"/>
                    </pic:cNvPicPr>
                  </pic:nvPicPr>
                  <pic:blipFill>
                    <a:blip r:embed="rId8"/>
                    <a:stretch>
                      <a:fillRect/>
                    </a:stretch>
                  </pic:blipFill>
                  <pic:spPr>
                    <a:xfrm>
                      <a:off x="0" y="0"/>
                      <a:ext cx="4741545" cy="4749165"/>
                    </a:xfrm>
                    <a:prstGeom prst="rect">
                      <a:avLst/>
                    </a:prstGeom>
                  </pic:spPr>
                </pic:pic>
              </a:graphicData>
            </a:graphic>
          </wp:inline>
        </w:drawing>
      </w:r>
    </w:p>
    <w:p w14:paraId="1CB30821" w14:textId="77777777" w:rsidR="009B2E66" w:rsidRDefault="00263E47">
      <w:r>
        <w:rPr>
          <w:rFonts w:cs="宋体"/>
          <w:noProof/>
          <w:kern w:val="0"/>
          <w:sz w:val="24"/>
          <w:szCs w:val="24"/>
        </w:rPr>
        <w:drawing>
          <wp:inline distT="0" distB="0" distL="0" distR="0" wp14:anchorId="2DD7E9A9" wp14:editId="4F2BD06F">
            <wp:extent cx="4741545" cy="3555365"/>
            <wp:effectExtent l="0" t="0" r="1905" b="6985"/>
            <wp:docPr id="4" name="图片 4" descr="C:\Users\zakizhou\Documents\Tencent Files\494711249\Image\C2C\2E8611FD16F7573D38D66E80A36006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zakizhou\Documents\Tencent Files\494711249\Image\C2C\2E8611FD16F7573D38D66E80A36006B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771962" cy="3578684"/>
                    </a:xfrm>
                    <a:prstGeom prst="rect">
                      <a:avLst/>
                    </a:prstGeom>
                    <a:noFill/>
                    <a:ln>
                      <a:noFill/>
                    </a:ln>
                  </pic:spPr>
                </pic:pic>
              </a:graphicData>
            </a:graphic>
          </wp:inline>
        </w:drawing>
      </w:r>
    </w:p>
    <w:p w14:paraId="1B4BAC90" w14:textId="77777777" w:rsidR="009B2E66" w:rsidRDefault="009B2E66"/>
    <w:p w14:paraId="200ACFFC" w14:textId="77777777" w:rsidR="009B2E66" w:rsidRDefault="009B2E66"/>
    <w:tbl>
      <w:tblPr>
        <w:tblW w:w="7513" w:type="dxa"/>
        <w:tblInd w:w="-10" w:type="dxa"/>
        <w:tblLook w:val="04A0" w:firstRow="1" w:lastRow="0" w:firstColumn="1" w:lastColumn="0" w:noHBand="0" w:noVBand="1"/>
      </w:tblPr>
      <w:tblGrid>
        <w:gridCol w:w="2580"/>
        <w:gridCol w:w="4933"/>
      </w:tblGrid>
      <w:tr w:rsidR="009B2E66" w14:paraId="3D40A80A" w14:textId="77777777">
        <w:trPr>
          <w:trHeight w:val="276"/>
        </w:trPr>
        <w:tc>
          <w:tcPr>
            <w:tcW w:w="2580" w:type="dxa"/>
            <w:tcBorders>
              <w:top w:val="single" w:sz="8" w:space="0" w:color="auto"/>
              <w:left w:val="single" w:sz="8" w:space="0" w:color="auto"/>
              <w:bottom w:val="single" w:sz="8" w:space="0" w:color="auto"/>
              <w:right w:val="single" w:sz="8" w:space="0" w:color="auto"/>
            </w:tcBorders>
            <w:shd w:val="clear" w:color="auto" w:fill="auto"/>
            <w:vAlign w:val="center"/>
          </w:tcPr>
          <w:p w14:paraId="59D9C67E"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研究生生活</w:t>
            </w:r>
          </w:p>
        </w:tc>
        <w:tc>
          <w:tcPr>
            <w:tcW w:w="4933" w:type="dxa"/>
            <w:tcBorders>
              <w:top w:val="single" w:sz="8" w:space="0" w:color="auto"/>
              <w:left w:val="nil"/>
              <w:bottom w:val="single" w:sz="8" w:space="0" w:color="auto"/>
              <w:right w:val="single" w:sz="8" w:space="0" w:color="auto"/>
            </w:tcBorders>
            <w:shd w:val="clear" w:color="auto" w:fill="auto"/>
            <w:vAlign w:val="center"/>
          </w:tcPr>
          <w:p w14:paraId="12A0C8B6" w14:textId="77777777" w:rsidR="009B2E66" w:rsidRDefault="00263E47">
            <w:pPr>
              <w:widowControl/>
              <w:jc w:val="center"/>
              <w:rPr>
                <w:rFonts w:ascii="宋体" w:eastAsia="宋体" w:hAnsi="宋体" w:cs="宋体"/>
                <w:b/>
                <w:bCs/>
                <w:color w:val="000000"/>
                <w:kern w:val="0"/>
                <w:sz w:val="20"/>
                <w:szCs w:val="20"/>
              </w:rPr>
            </w:pPr>
            <w:r>
              <w:rPr>
                <w:rFonts w:ascii="宋体" w:eastAsia="宋体" w:hAnsi="宋体" w:cs="宋体" w:hint="eastAsia"/>
                <w:b/>
                <w:bCs/>
                <w:color w:val="000000"/>
                <w:kern w:val="0"/>
                <w:sz w:val="20"/>
                <w:szCs w:val="20"/>
              </w:rPr>
              <w:t>具体标准及举措</w:t>
            </w:r>
          </w:p>
        </w:tc>
      </w:tr>
      <w:tr w:rsidR="009B2E66" w14:paraId="729A1514"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747B4AC4"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生活补助费（含餐补）</w:t>
            </w:r>
          </w:p>
        </w:tc>
        <w:tc>
          <w:tcPr>
            <w:tcW w:w="4933" w:type="dxa"/>
            <w:tcBorders>
              <w:top w:val="nil"/>
              <w:left w:val="nil"/>
              <w:bottom w:val="single" w:sz="8" w:space="0" w:color="auto"/>
              <w:right w:val="single" w:sz="8" w:space="0" w:color="auto"/>
            </w:tcBorders>
            <w:shd w:val="clear" w:color="auto" w:fill="auto"/>
            <w:vAlign w:val="center"/>
          </w:tcPr>
          <w:p w14:paraId="38F037D1"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平均工资</w:t>
            </w:r>
            <w:r>
              <w:rPr>
                <w:rFonts w:ascii="等线" w:eastAsia="等线" w:hAnsi="等线" w:cs="宋体" w:hint="eastAsia"/>
                <w:color w:val="000000"/>
                <w:kern w:val="0"/>
                <w:sz w:val="20"/>
                <w:szCs w:val="20"/>
              </w:rPr>
              <w:t>2500-3500</w:t>
            </w:r>
            <w:r>
              <w:rPr>
                <w:rFonts w:ascii="宋体" w:eastAsia="宋体" w:hAnsi="宋体" w:cs="宋体" w:hint="eastAsia"/>
                <w:color w:val="000000"/>
                <w:kern w:val="0"/>
                <w:sz w:val="20"/>
                <w:szCs w:val="20"/>
              </w:rPr>
              <w:t>人</w:t>
            </w:r>
            <w:r>
              <w:rPr>
                <w:rFonts w:ascii="等线" w:eastAsia="等线" w:hAnsi="等线" w:cs="宋体" w:hint="eastAsia"/>
                <w:color w:val="000000"/>
                <w:kern w:val="0"/>
                <w:sz w:val="20"/>
                <w:szCs w:val="20"/>
              </w:rPr>
              <w:t>/</w:t>
            </w:r>
            <w:r>
              <w:rPr>
                <w:rFonts w:ascii="宋体" w:eastAsia="宋体" w:hAnsi="宋体" w:cs="宋体" w:hint="eastAsia"/>
                <w:color w:val="000000"/>
                <w:kern w:val="0"/>
                <w:sz w:val="20"/>
                <w:szCs w:val="20"/>
              </w:rPr>
              <w:t>月</w:t>
            </w:r>
          </w:p>
        </w:tc>
      </w:tr>
      <w:tr w:rsidR="009B2E66" w14:paraId="1AB0ED52" w14:textId="77777777">
        <w:trPr>
          <w:trHeight w:val="516"/>
        </w:trPr>
        <w:tc>
          <w:tcPr>
            <w:tcW w:w="2580" w:type="dxa"/>
            <w:tcBorders>
              <w:top w:val="nil"/>
              <w:left w:val="single" w:sz="8" w:space="0" w:color="auto"/>
              <w:bottom w:val="single" w:sz="8" w:space="0" w:color="auto"/>
              <w:right w:val="single" w:sz="8" w:space="0" w:color="auto"/>
            </w:tcBorders>
            <w:shd w:val="clear" w:color="auto" w:fill="auto"/>
            <w:vAlign w:val="center"/>
          </w:tcPr>
          <w:p w14:paraId="1C279D66"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保险</w:t>
            </w:r>
          </w:p>
        </w:tc>
        <w:tc>
          <w:tcPr>
            <w:tcW w:w="4933" w:type="dxa"/>
            <w:tcBorders>
              <w:top w:val="nil"/>
              <w:left w:val="nil"/>
              <w:bottom w:val="single" w:sz="8" w:space="0" w:color="auto"/>
              <w:right w:val="single" w:sz="8" w:space="0" w:color="auto"/>
            </w:tcBorders>
            <w:shd w:val="clear" w:color="auto" w:fill="auto"/>
            <w:vAlign w:val="center"/>
          </w:tcPr>
          <w:p w14:paraId="36CE12B8"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不低于</w:t>
            </w:r>
            <w:r>
              <w:rPr>
                <w:rFonts w:ascii="等线" w:eastAsia="等线" w:hAnsi="等线" w:cs="宋体" w:hint="eastAsia"/>
                <w:color w:val="000000"/>
                <w:kern w:val="0"/>
                <w:sz w:val="20"/>
                <w:szCs w:val="20"/>
              </w:rPr>
              <w:t>20</w:t>
            </w:r>
            <w:r>
              <w:rPr>
                <w:rFonts w:ascii="宋体" w:eastAsia="宋体" w:hAnsi="宋体" w:cs="宋体" w:hint="eastAsia"/>
                <w:color w:val="000000"/>
                <w:kern w:val="0"/>
                <w:sz w:val="20"/>
                <w:szCs w:val="20"/>
              </w:rPr>
              <w:t>万元的人身意外伤害保险</w:t>
            </w:r>
          </w:p>
        </w:tc>
      </w:tr>
      <w:tr w:rsidR="009B2E66" w14:paraId="06549BAD" w14:textId="77777777">
        <w:trPr>
          <w:trHeight w:val="1212"/>
        </w:trPr>
        <w:tc>
          <w:tcPr>
            <w:tcW w:w="2580" w:type="dxa"/>
            <w:tcBorders>
              <w:top w:val="nil"/>
              <w:left w:val="single" w:sz="8" w:space="0" w:color="auto"/>
              <w:bottom w:val="single" w:sz="8" w:space="0" w:color="auto"/>
              <w:right w:val="single" w:sz="8" w:space="0" w:color="auto"/>
            </w:tcBorders>
            <w:shd w:val="clear" w:color="auto" w:fill="auto"/>
            <w:vAlign w:val="center"/>
          </w:tcPr>
          <w:p w14:paraId="108D196A"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出差待遇</w:t>
            </w:r>
          </w:p>
        </w:tc>
        <w:tc>
          <w:tcPr>
            <w:tcW w:w="4933" w:type="dxa"/>
            <w:tcBorders>
              <w:top w:val="nil"/>
              <w:left w:val="nil"/>
              <w:bottom w:val="single" w:sz="8" w:space="0" w:color="auto"/>
              <w:right w:val="single" w:sz="8" w:space="0" w:color="auto"/>
            </w:tcBorders>
            <w:shd w:val="clear" w:color="auto" w:fill="auto"/>
            <w:vAlign w:val="center"/>
          </w:tcPr>
          <w:p w14:paraId="1014BAF2"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实报机票（经济舱）、高铁票（二等座）等交通费和住宿费，出差期间每人市内交通补贴、餐补（参照企业员工标准）</w:t>
            </w:r>
          </w:p>
        </w:tc>
      </w:tr>
      <w:tr w:rsidR="009B2E66" w14:paraId="13527C1B"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76E4F371"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住宿情况</w:t>
            </w:r>
          </w:p>
        </w:tc>
        <w:tc>
          <w:tcPr>
            <w:tcW w:w="4933" w:type="dxa"/>
            <w:tcBorders>
              <w:top w:val="nil"/>
              <w:left w:val="nil"/>
              <w:bottom w:val="single" w:sz="8" w:space="0" w:color="auto"/>
              <w:right w:val="single" w:sz="8" w:space="0" w:color="auto"/>
            </w:tcBorders>
            <w:shd w:val="clear" w:color="auto" w:fill="auto"/>
            <w:vAlign w:val="center"/>
          </w:tcPr>
          <w:p w14:paraId="485C2DB6"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免费住</w:t>
            </w:r>
            <w:r>
              <w:rPr>
                <w:rFonts w:ascii="等线" w:eastAsia="等线" w:hAnsi="等线" w:cs="宋体" w:hint="eastAsia"/>
                <w:color w:val="000000"/>
                <w:kern w:val="0"/>
                <w:sz w:val="20"/>
                <w:szCs w:val="20"/>
              </w:rPr>
              <w:t>2</w:t>
            </w:r>
            <w:proofErr w:type="gramStart"/>
            <w:r>
              <w:rPr>
                <w:rFonts w:ascii="宋体" w:eastAsia="宋体" w:hAnsi="宋体" w:cs="宋体" w:hint="eastAsia"/>
                <w:color w:val="000000"/>
                <w:kern w:val="0"/>
                <w:sz w:val="20"/>
                <w:szCs w:val="20"/>
              </w:rPr>
              <w:t>人标间</w:t>
            </w:r>
            <w:proofErr w:type="gramEnd"/>
          </w:p>
        </w:tc>
      </w:tr>
      <w:tr w:rsidR="009B2E66" w14:paraId="5DBD28E6" w14:textId="77777777">
        <w:trPr>
          <w:trHeight w:val="276"/>
        </w:trPr>
        <w:tc>
          <w:tcPr>
            <w:tcW w:w="2580" w:type="dxa"/>
            <w:tcBorders>
              <w:top w:val="nil"/>
              <w:left w:val="single" w:sz="8" w:space="0" w:color="auto"/>
              <w:bottom w:val="single" w:sz="8" w:space="0" w:color="auto"/>
              <w:right w:val="single" w:sz="8" w:space="0" w:color="auto"/>
            </w:tcBorders>
            <w:shd w:val="clear" w:color="auto" w:fill="auto"/>
            <w:vAlign w:val="center"/>
          </w:tcPr>
          <w:p w14:paraId="5E6FDB3E"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往返学校的费用</w:t>
            </w:r>
          </w:p>
        </w:tc>
        <w:tc>
          <w:tcPr>
            <w:tcW w:w="4933" w:type="dxa"/>
            <w:tcBorders>
              <w:top w:val="nil"/>
              <w:left w:val="nil"/>
              <w:bottom w:val="single" w:sz="8" w:space="0" w:color="auto"/>
              <w:right w:val="single" w:sz="8" w:space="0" w:color="auto"/>
            </w:tcBorders>
            <w:shd w:val="clear" w:color="auto" w:fill="auto"/>
            <w:vAlign w:val="center"/>
          </w:tcPr>
          <w:p w14:paraId="043AC5A6"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据实报销交通费</w:t>
            </w:r>
          </w:p>
        </w:tc>
      </w:tr>
      <w:tr w:rsidR="009B2E66" w14:paraId="55D86EA8" w14:textId="77777777">
        <w:trPr>
          <w:trHeight w:val="346"/>
        </w:trPr>
        <w:tc>
          <w:tcPr>
            <w:tcW w:w="2580" w:type="dxa"/>
            <w:tcBorders>
              <w:top w:val="nil"/>
              <w:left w:val="single" w:sz="8" w:space="0" w:color="auto"/>
              <w:bottom w:val="single" w:sz="8" w:space="0" w:color="auto"/>
              <w:right w:val="single" w:sz="8" w:space="0" w:color="auto"/>
            </w:tcBorders>
            <w:shd w:val="clear" w:color="auto" w:fill="auto"/>
            <w:vAlign w:val="center"/>
          </w:tcPr>
          <w:p w14:paraId="3CD6F737" w14:textId="77777777" w:rsidR="009B2E66" w:rsidRDefault="00263E47">
            <w:pPr>
              <w:widowControl/>
              <w:ind w:firstLineChars="200" w:firstLine="400"/>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其它</w:t>
            </w:r>
          </w:p>
        </w:tc>
        <w:tc>
          <w:tcPr>
            <w:tcW w:w="4933" w:type="dxa"/>
            <w:tcBorders>
              <w:top w:val="nil"/>
              <w:left w:val="nil"/>
              <w:bottom w:val="single" w:sz="8" w:space="0" w:color="auto"/>
              <w:right w:val="single" w:sz="8" w:space="0" w:color="auto"/>
            </w:tcBorders>
            <w:shd w:val="clear" w:color="auto" w:fill="auto"/>
            <w:vAlign w:val="center"/>
          </w:tcPr>
          <w:p w14:paraId="1DD6D5E5" w14:textId="77777777" w:rsidR="009B2E66" w:rsidRDefault="00263E47">
            <w:pPr>
              <w:widowControl/>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定期组织丰富多彩的班级文娱等活动</w:t>
            </w:r>
          </w:p>
        </w:tc>
      </w:tr>
    </w:tbl>
    <w:p w14:paraId="6B1A1346" w14:textId="77777777" w:rsidR="009B2E66" w:rsidRDefault="009B2E66"/>
    <w:p w14:paraId="62624203" w14:textId="77777777" w:rsidR="009B2E66" w:rsidRDefault="00263E47">
      <w:r>
        <w:rPr>
          <w:rFonts w:hint="eastAsia"/>
        </w:rPr>
        <w:t>招生咨询联系方式</w:t>
      </w:r>
    </w:p>
    <w:p w14:paraId="6E8B6858" w14:textId="77777777" w:rsidR="009B2E66" w:rsidRDefault="00263E47">
      <w:r>
        <w:rPr>
          <w:rFonts w:hint="eastAsia"/>
        </w:rPr>
        <w:t>云南电网有限责任公司电力科学研究院招生代码：</w:t>
      </w:r>
    </w:p>
    <w:p w14:paraId="752EF073" w14:textId="77777777" w:rsidR="009B2E66" w:rsidRDefault="00263E47">
      <w:r>
        <w:rPr>
          <w:rFonts w:hint="eastAsia"/>
        </w:rPr>
        <w:t>咨询电话：陆海</w:t>
      </w:r>
      <w:r>
        <w:t>13888500357</w:t>
      </w:r>
    </w:p>
    <w:p w14:paraId="24CB6EFB" w14:textId="77777777" w:rsidR="009B2E66" w:rsidRDefault="00263E47">
      <w:r>
        <w:rPr>
          <w:rFonts w:hint="eastAsia"/>
        </w:rPr>
        <w:t>招生办公室：陈晓云</w:t>
      </w:r>
      <w:r>
        <w:t>13987152399</w:t>
      </w:r>
    </w:p>
    <w:p w14:paraId="2B6D48C2" w14:textId="77777777" w:rsidR="009B2E66" w:rsidRDefault="00263E47">
      <w:r>
        <w:rPr>
          <w:rFonts w:hint="eastAsia"/>
        </w:rPr>
        <w:t>邮箱：</w:t>
      </w:r>
      <w:r>
        <w:t>chenxyun@163.com</w:t>
      </w:r>
    </w:p>
    <w:p w14:paraId="1A8D0F73" w14:textId="77777777" w:rsidR="009B2E66" w:rsidRDefault="00263E47">
      <w:r>
        <w:rPr>
          <w:rFonts w:hint="eastAsia"/>
        </w:rPr>
        <w:t>地址：云南省昆明经济技术开发区云大西路</w:t>
      </w:r>
      <w:r>
        <w:t>105号-云电科技园</w:t>
      </w:r>
    </w:p>
    <w:p w14:paraId="30966181" w14:textId="77777777" w:rsidR="009B2E66" w:rsidRDefault="009B2E66">
      <w:bookmarkStart w:id="0" w:name="_GoBack"/>
      <w:bookmarkEnd w:id="0"/>
    </w:p>
    <w:sectPr w:rsidR="009B2E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356"/>
    <w:rsid w:val="00013671"/>
    <w:rsid w:val="000E7939"/>
    <w:rsid w:val="00263E47"/>
    <w:rsid w:val="002F7BAC"/>
    <w:rsid w:val="003D408D"/>
    <w:rsid w:val="00456356"/>
    <w:rsid w:val="008B75FC"/>
    <w:rsid w:val="009B2E66"/>
    <w:rsid w:val="009F3089"/>
    <w:rsid w:val="00A76FD4"/>
    <w:rsid w:val="00AE6564"/>
    <w:rsid w:val="00E70ABB"/>
    <w:rsid w:val="48D522EE"/>
    <w:rsid w:val="65957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FC9C"/>
  <w15:docId w15:val="{F9F2E117-815E-4DFF-81A7-B66051BA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841</Words>
  <Characters>4798</Characters>
  <Application>Microsoft Office Word</Application>
  <DocSecurity>0</DocSecurity>
  <Lines>39</Lines>
  <Paragraphs>11</Paragraphs>
  <ScaleCrop>false</ScaleCrop>
  <Company>华北电力大学</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孙颖</dc:creator>
  <cp:lastModifiedBy>DELL</cp:lastModifiedBy>
  <cp:revision>5</cp:revision>
  <dcterms:created xsi:type="dcterms:W3CDTF">2021-04-07T03:05:00Z</dcterms:created>
  <dcterms:modified xsi:type="dcterms:W3CDTF">2023-04-21T07:09:00Z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